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Default="00AD2011">
      <w:pPr>
        <w:rPr>
          <w:rFonts w:ascii="Verdana" w:hAnsi="Verdana" w:cs="Arial"/>
        </w:rPr>
      </w:pPr>
      <w:r>
        <w:rPr>
          <w:rFonts w:ascii="Verdana" w:hAnsi="Verdana" w:cs="Arial"/>
        </w:rPr>
        <w:t>EN</w:t>
      </w:r>
      <w:r w:rsidR="004D7FF6">
        <w:rPr>
          <w:rFonts w:ascii="Verdana" w:hAnsi="Verdana" w:cs="Arial"/>
        </w:rPr>
        <w:t>EA Połaniec</w:t>
      </w:r>
      <w:r w:rsidR="008F49B7">
        <w:rPr>
          <w:rFonts w:ascii="Verdana" w:hAnsi="Verdana" w:cs="Arial"/>
        </w:rPr>
        <w:t xml:space="preserve"> </w:t>
      </w:r>
      <w:r w:rsidR="000B4EF3">
        <w:rPr>
          <w:rFonts w:ascii="Verdana" w:hAnsi="Verdana" w:cs="Arial"/>
        </w:rPr>
        <w:t xml:space="preserve">S.A.      </w:t>
      </w:r>
      <w:r w:rsidR="006B7128">
        <w:rPr>
          <w:rFonts w:ascii="Verdana" w:hAnsi="Verdana" w:cs="Arial"/>
        </w:rPr>
        <w:t xml:space="preserve">     </w:t>
      </w:r>
      <w:r w:rsidR="00474859">
        <w:rPr>
          <w:rFonts w:ascii="Verdana" w:hAnsi="Verdana" w:cs="Arial"/>
        </w:rPr>
        <w:t xml:space="preserve">                            </w:t>
      </w:r>
      <w:r w:rsidR="00DA0A7F">
        <w:rPr>
          <w:rFonts w:ascii="Verdana" w:hAnsi="Verdana" w:cs="Arial"/>
        </w:rPr>
        <w:t xml:space="preserve">  </w:t>
      </w:r>
      <w:r w:rsidR="002C206C">
        <w:rPr>
          <w:rFonts w:ascii="Verdana" w:hAnsi="Verdana" w:cs="Arial"/>
        </w:rPr>
        <w:t xml:space="preserve">           </w:t>
      </w:r>
      <w:r w:rsidR="004D7FF6">
        <w:rPr>
          <w:rFonts w:ascii="Verdana" w:hAnsi="Verdana" w:cs="Arial"/>
        </w:rPr>
        <w:t xml:space="preserve">      </w:t>
      </w:r>
      <w:r w:rsidR="00FE4409">
        <w:rPr>
          <w:rFonts w:ascii="Verdana" w:hAnsi="Verdana" w:cs="Arial"/>
        </w:rPr>
        <w:t xml:space="preserve">          Połaniec, dnia 20</w:t>
      </w:r>
      <w:r w:rsidR="006B7128">
        <w:rPr>
          <w:rFonts w:ascii="Verdana" w:hAnsi="Verdana" w:cs="Arial"/>
        </w:rPr>
        <w:t xml:space="preserve"> </w:t>
      </w:r>
      <w:r w:rsidR="00FE4409">
        <w:rPr>
          <w:rFonts w:ascii="Verdana" w:hAnsi="Verdana" w:cs="Arial"/>
        </w:rPr>
        <w:t>lipc</w:t>
      </w:r>
      <w:r w:rsidR="00971F29">
        <w:rPr>
          <w:rFonts w:ascii="Verdana" w:hAnsi="Verdana" w:cs="Arial"/>
        </w:rPr>
        <w:t>a</w:t>
      </w:r>
      <w:r w:rsidR="00FE4409">
        <w:rPr>
          <w:rFonts w:ascii="Verdana" w:hAnsi="Verdana" w:cs="Arial"/>
        </w:rPr>
        <w:t xml:space="preserve"> 2021</w:t>
      </w:r>
    </w:p>
    <w:p w:rsidR="000B4EF3" w:rsidRDefault="00AD2011" w:rsidP="00474859">
      <w:pPr>
        <w:rPr>
          <w:rFonts w:ascii="Verdana" w:hAnsi="Verdana" w:cs="Arial"/>
        </w:rPr>
      </w:pPr>
      <w:r>
        <w:rPr>
          <w:rFonts w:ascii="Verdana" w:hAnsi="Verdana" w:cs="Arial"/>
        </w:rPr>
        <w:t>Dział</w:t>
      </w:r>
      <w:r w:rsidR="000B4EF3">
        <w:rPr>
          <w:rFonts w:ascii="Verdana" w:hAnsi="Verdana" w:cs="Arial"/>
        </w:rPr>
        <w:t xml:space="preserve"> </w:t>
      </w:r>
      <w:r w:rsidR="00FE4409">
        <w:rPr>
          <w:rFonts w:ascii="Verdana" w:hAnsi="Verdana" w:cs="Arial"/>
        </w:rPr>
        <w:t>Urządzeń Cieplno-Mechanicznych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940365" w:rsidRDefault="00AA4354">
      <w:pPr>
        <w:pStyle w:val="Nagwek3"/>
        <w:rPr>
          <w:rFonts w:ascii="Verdana" w:hAnsi="Verdana"/>
          <w:b/>
          <w:sz w:val="20"/>
        </w:rPr>
      </w:pPr>
      <w:r w:rsidRPr="00940365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 w:rsidR="00FA79BF" w:rsidRPr="00FA79BF">
        <w:rPr>
          <w:rFonts w:ascii="Verdana" w:hAnsi="Verdana" w:cs="Arial"/>
          <w:b/>
          <w:u w:val="single"/>
        </w:rPr>
        <w:t>wykonanie i</w:t>
      </w:r>
      <w:r w:rsidR="00FA79BF">
        <w:rPr>
          <w:rFonts w:ascii="Verdana" w:hAnsi="Verdana" w:cs="Arial"/>
        </w:rPr>
        <w:t xml:space="preserve"> </w:t>
      </w:r>
      <w:r w:rsidR="004C005B">
        <w:rPr>
          <w:rFonts w:ascii="Verdana" w:hAnsi="Verdana" w:cs="Arial"/>
          <w:b/>
          <w:bCs/>
          <w:u w:val="single"/>
        </w:rPr>
        <w:t xml:space="preserve">dostawa </w:t>
      </w:r>
      <w:r w:rsidR="00DF3FDE">
        <w:rPr>
          <w:rFonts w:ascii="Verdana" w:hAnsi="Verdana" w:cs="Arial"/>
          <w:b/>
          <w:bCs/>
          <w:u w:val="single"/>
        </w:rPr>
        <w:t xml:space="preserve">12 sztuk </w:t>
      </w:r>
      <w:r w:rsidR="00FE4409">
        <w:rPr>
          <w:rFonts w:ascii="Verdana" w:hAnsi="Verdana" w:cs="Arial"/>
          <w:b/>
          <w:bCs/>
          <w:u w:val="single"/>
        </w:rPr>
        <w:t xml:space="preserve">zgarniaczy bębnowych </w:t>
      </w:r>
      <w:r w:rsidR="00DF3FDE">
        <w:rPr>
          <w:rFonts w:ascii="Verdana" w:hAnsi="Verdana" w:cs="Arial"/>
          <w:b/>
          <w:bCs/>
          <w:u w:val="single"/>
        </w:rPr>
        <w:t xml:space="preserve">TA/B </w:t>
      </w:r>
      <w:r w:rsidR="00FE4409">
        <w:rPr>
          <w:rFonts w:ascii="Verdana" w:hAnsi="Verdana" w:cs="Arial"/>
          <w:b/>
          <w:bCs/>
          <w:u w:val="single"/>
        </w:rPr>
        <w:t>1400 mm</w:t>
      </w:r>
      <w:r w:rsidR="004C005B">
        <w:rPr>
          <w:rFonts w:ascii="Verdana" w:hAnsi="Verdana" w:cs="Arial"/>
          <w:b/>
          <w:bCs/>
          <w:u w:val="single"/>
        </w:rPr>
        <w:t xml:space="preserve"> </w:t>
      </w:r>
      <w:r>
        <w:rPr>
          <w:rFonts w:ascii="Verdana" w:hAnsi="Verdana" w:cs="Arial"/>
          <w:b/>
          <w:bCs/>
          <w:u w:val="single"/>
        </w:rPr>
        <w:t>do przenośników taśmowych nawęglania</w:t>
      </w:r>
      <w:r w:rsidR="00954960">
        <w:rPr>
          <w:rFonts w:ascii="Verdana" w:hAnsi="Verdana" w:cs="Arial"/>
          <w:b/>
          <w:bCs/>
          <w:u w:val="single"/>
        </w:rPr>
        <w:t xml:space="preserve"> zewnętrznego dla Enea Połaniec S.A.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0B4EF3" w:rsidRDefault="000B4EF3">
      <w:pPr>
        <w:spacing w:line="312" w:lineRule="atLeast"/>
        <w:jc w:val="both"/>
        <w:rPr>
          <w:rFonts w:ascii="Verdana" w:hAnsi="Verdana" w:cs="Arial"/>
        </w:rPr>
      </w:pPr>
    </w:p>
    <w:p w:rsidR="000B4EF3" w:rsidRPr="004B520C" w:rsidRDefault="000B4EF3" w:rsidP="004B520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="Verdana" w:hAnsi="Verdana" w:cs="Arial"/>
          <w:bCs/>
        </w:rPr>
        <w:t xml:space="preserve">I. 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 xml:space="preserve">Zakres obejmuje wykonanie </w:t>
      </w:r>
      <w:r w:rsidR="00B81350" w:rsidRPr="00305638">
        <w:rPr>
          <w:rFonts w:asciiTheme="minorHAnsi" w:hAnsiTheme="minorHAnsi" w:cs="Arial"/>
          <w:bCs/>
          <w:i/>
          <w:sz w:val="22"/>
          <w:szCs w:val="22"/>
        </w:rPr>
        <w:t xml:space="preserve">i dostawę 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 xml:space="preserve">następujących </w:t>
      </w:r>
      <w:r w:rsidR="00FE4409">
        <w:rPr>
          <w:rFonts w:asciiTheme="minorHAnsi" w:hAnsiTheme="minorHAnsi" w:cs="Arial"/>
          <w:bCs/>
          <w:i/>
          <w:sz w:val="22"/>
          <w:szCs w:val="22"/>
        </w:rPr>
        <w:t xml:space="preserve">zgarniaczy bębnowych </w:t>
      </w:r>
      <w:r w:rsidR="00A969EB" w:rsidRPr="00305638">
        <w:rPr>
          <w:rFonts w:asciiTheme="minorHAnsi" w:hAnsiTheme="minorHAnsi" w:cs="Arial"/>
          <w:bCs/>
          <w:i/>
          <w:sz w:val="22"/>
          <w:szCs w:val="22"/>
        </w:rPr>
        <w:t>do przenośnik</w:t>
      </w:r>
      <w:r w:rsidR="00862360" w:rsidRPr="00305638">
        <w:rPr>
          <w:rFonts w:asciiTheme="minorHAnsi" w:hAnsiTheme="minorHAnsi" w:cs="Arial"/>
          <w:bCs/>
          <w:i/>
          <w:sz w:val="22"/>
          <w:szCs w:val="22"/>
        </w:rPr>
        <w:t>ów taśmowych nawęglania w wersji ATEX</w:t>
      </w:r>
      <w:r w:rsidRPr="004B520C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4B520C" w:rsidRDefault="000B4EF3" w:rsidP="004B520C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B81350" w:rsidRPr="004B520C" w:rsidRDefault="00FE4409" w:rsidP="00CC25D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Zgarniacz bębnowy </w:t>
      </w:r>
      <w:r w:rsidR="00F43A06" w:rsidRPr="004B520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954960">
        <w:rPr>
          <w:rFonts w:asciiTheme="minorHAnsi" w:hAnsiTheme="minorHAnsi" w:cs="Arial"/>
          <w:b/>
          <w:bCs/>
          <w:color w:val="000000"/>
          <w:sz w:val="22"/>
          <w:szCs w:val="22"/>
        </w:rPr>
        <w:t>TA/B-1400 mm ATEX</w:t>
      </w:r>
      <w:r w:rsidR="00F43A06" w:rsidRPr="004B520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– ilość </w:t>
      </w:r>
      <w:r w:rsidR="00954960">
        <w:rPr>
          <w:rFonts w:asciiTheme="minorHAnsi" w:hAnsiTheme="minorHAnsi" w:cs="Arial"/>
          <w:b/>
          <w:bCs/>
          <w:color w:val="000000"/>
          <w:sz w:val="22"/>
          <w:szCs w:val="22"/>
        </w:rPr>
        <w:t>12</w:t>
      </w:r>
      <w:r w:rsidR="00E60A15" w:rsidRPr="004B520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- </w:t>
      </w:r>
      <w:r w:rsidR="00B81350" w:rsidRPr="004B520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sztuk  </w:t>
      </w:r>
    </w:p>
    <w:p w:rsidR="000B4EF3" w:rsidRPr="004B520C" w:rsidRDefault="000B4EF3" w:rsidP="004B520C">
      <w:pPr>
        <w:spacing w:line="276" w:lineRule="auto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1D036E" w:rsidRPr="00954960" w:rsidRDefault="000B4EF3" w:rsidP="00954960">
      <w:pPr>
        <w:spacing w:line="276" w:lineRule="auto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>Szczegółow</w:t>
      </w:r>
      <w:r w:rsidR="00B7622B" w:rsidRPr="00305638">
        <w:rPr>
          <w:rFonts w:asciiTheme="minorHAnsi" w:hAnsiTheme="minorHAnsi" w:cs="Arial"/>
          <w:bCs/>
          <w:i/>
          <w:sz w:val="22"/>
          <w:szCs w:val="22"/>
        </w:rPr>
        <w:t>e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B7622B" w:rsidRPr="00305638">
        <w:rPr>
          <w:rFonts w:asciiTheme="minorHAnsi" w:hAnsiTheme="minorHAnsi" w:cs="Arial"/>
          <w:bCs/>
          <w:i/>
          <w:sz w:val="22"/>
          <w:szCs w:val="22"/>
        </w:rPr>
        <w:t xml:space="preserve">warunki 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 xml:space="preserve">wykonania </w:t>
      </w:r>
      <w:r w:rsidR="00B7622B" w:rsidRPr="00305638">
        <w:rPr>
          <w:rFonts w:asciiTheme="minorHAnsi" w:hAnsiTheme="minorHAnsi" w:cs="Arial"/>
          <w:bCs/>
          <w:i/>
          <w:sz w:val="22"/>
          <w:szCs w:val="22"/>
        </w:rPr>
        <w:t>i dostawy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>:</w:t>
      </w:r>
    </w:p>
    <w:p w:rsidR="00954960" w:rsidRPr="000F1411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 w:rsidRPr="000F1411">
        <w:rPr>
          <w:rFonts w:ascii="Calibri" w:hAnsi="Calibri" w:cs="Arial"/>
          <w:bCs/>
          <w:sz w:val="22"/>
          <w:szCs w:val="22"/>
        </w:rPr>
        <w:t xml:space="preserve">Wykonanie </w:t>
      </w:r>
      <w:r>
        <w:rPr>
          <w:rFonts w:ascii="Calibri" w:hAnsi="Calibri" w:cs="Arial"/>
          <w:bCs/>
          <w:sz w:val="22"/>
          <w:szCs w:val="22"/>
        </w:rPr>
        <w:t>zgarniaczy bębnowych wg załączonego rysunku ofertowego</w:t>
      </w:r>
      <w:r w:rsidRPr="000F1411">
        <w:rPr>
          <w:rFonts w:ascii="Calibri" w:hAnsi="Calibri" w:cs="Arial"/>
          <w:bCs/>
          <w:sz w:val="22"/>
          <w:szCs w:val="22"/>
        </w:rPr>
        <w:t>.</w:t>
      </w:r>
    </w:p>
    <w:p w:rsidR="00954960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Listwa zgarniająca powinna być wykonana z elastopalu w wersji dla strefy </w:t>
      </w:r>
      <w:r>
        <w:rPr>
          <w:rFonts w:ascii="Calibri" w:hAnsi="Calibri" w:cs="Arial"/>
          <w:bCs/>
          <w:sz w:val="22"/>
          <w:szCs w:val="22"/>
        </w:rPr>
        <w:t xml:space="preserve">Atex </w:t>
      </w:r>
      <w:r>
        <w:rPr>
          <w:rFonts w:ascii="Calibri" w:hAnsi="Calibri" w:cs="Arial"/>
          <w:bCs/>
          <w:sz w:val="22"/>
          <w:szCs w:val="22"/>
        </w:rPr>
        <w:t>21 zagrożenia wybuchem pyłu węglowego oraz węglowo-biomasowego.</w:t>
      </w:r>
    </w:p>
    <w:p w:rsidR="00954960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Zgarniacze będą zastosowane zarówno na przenośnikach z jednym kierunkiem biegu taśmy jak i na przenośnikach rewersyjnych (z dwoma kierunkami biegu taśmy).</w:t>
      </w:r>
    </w:p>
    <w:p w:rsidR="00954960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Zgarniacze powinny być wyposażone w układ do regulacji docisku do bębna</w:t>
      </w:r>
      <w:r w:rsidRPr="000F1411">
        <w:rPr>
          <w:rFonts w:ascii="Calibri" w:hAnsi="Calibri" w:cs="Arial"/>
          <w:bCs/>
          <w:sz w:val="22"/>
          <w:szCs w:val="22"/>
        </w:rPr>
        <w:t>.</w:t>
      </w:r>
    </w:p>
    <w:p w:rsidR="00954960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Zgarniacze powinny posiadać wysoka skuteczność czyszczenia taśmy zarówno z węgla kamiennego jak i z wody oraz węgla zawodnionego (np. w postaci mułu węglowego).</w:t>
      </w:r>
    </w:p>
    <w:p w:rsidR="00954960" w:rsidRDefault="00954960" w:rsidP="00CC25D7">
      <w:pPr>
        <w:pStyle w:val="Akapitzlist"/>
        <w:numPr>
          <w:ilvl w:val="0"/>
          <w:numId w:val="6"/>
        </w:numPr>
        <w:spacing w:before="120" w:line="276" w:lineRule="auto"/>
        <w:ind w:left="567" w:right="851" w:hanging="35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Podstawowe parametry przenośników taśmowych: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/>
          <w:b w:val="0"/>
          <w:color w:val="auto"/>
          <w:sz w:val="22"/>
          <w:szCs w:val="22"/>
        </w:rPr>
        <w:t>taśm</w:t>
      </w:r>
      <w:r>
        <w:rPr>
          <w:rFonts w:ascii="Calibri" w:hAnsi="Calibri"/>
          <w:b w:val="0"/>
          <w:color w:val="auto"/>
          <w:sz w:val="22"/>
          <w:szCs w:val="22"/>
        </w:rPr>
        <w:t>a</w:t>
      </w:r>
      <w:r w:rsidRPr="002F2781">
        <w:rPr>
          <w:rFonts w:ascii="Calibri" w:hAnsi="Calibri"/>
          <w:b w:val="0"/>
          <w:color w:val="auto"/>
          <w:sz w:val="22"/>
          <w:szCs w:val="22"/>
        </w:rPr>
        <w:t xml:space="preserve"> przenośnikow</w:t>
      </w:r>
      <w:r>
        <w:rPr>
          <w:rFonts w:ascii="Calibri" w:hAnsi="Calibri"/>
          <w:b w:val="0"/>
          <w:color w:val="auto"/>
          <w:sz w:val="22"/>
          <w:szCs w:val="22"/>
        </w:rPr>
        <w:t>a</w:t>
      </w:r>
      <w:r w:rsidRPr="002F2781">
        <w:rPr>
          <w:rFonts w:ascii="Calibri" w:hAnsi="Calibri"/>
          <w:b w:val="0"/>
          <w:color w:val="auto"/>
          <w:sz w:val="22"/>
          <w:szCs w:val="22"/>
        </w:rPr>
        <w:t xml:space="preserve"> typu </w:t>
      </w:r>
      <w:r>
        <w:rPr>
          <w:rFonts w:ascii="Calibri" w:hAnsi="Calibri" w:cs="Calibri"/>
          <w:b w:val="0"/>
          <w:color w:val="auto"/>
          <w:sz w:val="22"/>
          <w:szCs w:val="22"/>
        </w:rPr>
        <w:t>1400 EP1250/4 4+3 mm,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>
        <w:rPr>
          <w:rFonts w:ascii="Calibri" w:hAnsi="Calibri" w:cs="Arial"/>
          <w:b w:val="0"/>
          <w:color w:val="auto"/>
          <w:sz w:val="22"/>
          <w:szCs w:val="22"/>
        </w:rPr>
        <w:t>Długość przenośników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 xml:space="preserve"> – około </w:t>
      </w:r>
      <w:r>
        <w:rPr>
          <w:rFonts w:ascii="Calibri" w:hAnsi="Calibri" w:cs="Arial"/>
          <w:b w:val="0"/>
          <w:color w:val="auto"/>
          <w:sz w:val="22"/>
          <w:szCs w:val="22"/>
        </w:rPr>
        <w:t xml:space="preserve">40 - 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380 m,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>Prędkość taśmy – 3,3 m/s,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>Wydajność – 1600-2000 t/h,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>Medium transportowane – węgiel kamienny,</w:t>
      </w:r>
      <w:r>
        <w:rPr>
          <w:rFonts w:ascii="Calibri" w:hAnsi="Calibri" w:cs="Arial"/>
          <w:b w:val="0"/>
          <w:color w:val="auto"/>
          <w:sz w:val="22"/>
          <w:szCs w:val="22"/>
        </w:rPr>
        <w:t xml:space="preserve"> węgiel kamienny + biomasa,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>
        <w:rPr>
          <w:rFonts w:ascii="Calibri" w:hAnsi="Calibri" w:cs="Arial"/>
          <w:b w:val="0"/>
          <w:color w:val="auto"/>
          <w:sz w:val="22"/>
          <w:szCs w:val="22"/>
        </w:rPr>
        <w:t>Gęstość medium około 90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0 kg/m</w:t>
      </w:r>
      <w:r w:rsidRPr="002F2781">
        <w:rPr>
          <w:rFonts w:ascii="Calibri" w:hAnsi="Calibri" w:cs="Arial"/>
          <w:b w:val="0"/>
          <w:color w:val="auto"/>
          <w:sz w:val="22"/>
          <w:szCs w:val="22"/>
          <w:vertAlign w:val="superscript"/>
        </w:rPr>
        <w:t>3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.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 xml:space="preserve">Profil trasy przenośnika – </w:t>
      </w:r>
      <w:r>
        <w:rPr>
          <w:rFonts w:ascii="Calibri" w:hAnsi="Calibri" w:cs="Arial"/>
          <w:b w:val="0"/>
          <w:color w:val="auto"/>
          <w:sz w:val="22"/>
          <w:szCs w:val="22"/>
        </w:rPr>
        <w:t xml:space="preserve">poziome i 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skośno-poziom</w:t>
      </w:r>
      <w:r>
        <w:rPr>
          <w:rFonts w:ascii="Calibri" w:hAnsi="Calibri" w:cs="Arial"/>
          <w:b w:val="0"/>
          <w:color w:val="auto"/>
          <w:sz w:val="22"/>
          <w:szCs w:val="22"/>
        </w:rPr>
        <w:t>e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>Temperatura pracy – temperatura otoczenia,</w:t>
      </w:r>
    </w:p>
    <w:p w:rsidR="00954960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2F2781">
        <w:rPr>
          <w:rFonts w:ascii="Calibri" w:hAnsi="Calibri" w:cs="Arial"/>
          <w:b w:val="0"/>
          <w:color w:val="auto"/>
          <w:sz w:val="22"/>
          <w:szCs w:val="22"/>
        </w:rPr>
        <w:t xml:space="preserve">Minimalna średnica bębna </w:t>
      </w:r>
      <w:r>
        <w:rPr>
          <w:rFonts w:ascii="Calibri" w:hAnsi="Calibri" w:cs="Arial"/>
          <w:b w:val="0"/>
          <w:color w:val="auto"/>
          <w:sz w:val="22"/>
          <w:szCs w:val="22"/>
        </w:rPr>
        <w:t>napęd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 xml:space="preserve">owego </w:t>
      </w:r>
      <w:r>
        <w:rPr>
          <w:rFonts w:ascii="Calibri" w:hAnsi="Calibri" w:cs="Arial"/>
          <w:b w:val="0"/>
          <w:color w:val="auto"/>
          <w:sz w:val="22"/>
          <w:szCs w:val="22"/>
        </w:rPr>
        <w:t>– 63</w:t>
      </w:r>
      <w:r w:rsidRPr="002F2781">
        <w:rPr>
          <w:rFonts w:ascii="Calibri" w:hAnsi="Calibri" w:cs="Arial"/>
          <w:b w:val="0"/>
          <w:color w:val="auto"/>
          <w:sz w:val="22"/>
          <w:szCs w:val="22"/>
        </w:rPr>
        <w:t>0 mm,</w:t>
      </w:r>
    </w:p>
    <w:p w:rsidR="00954960" w:rsidRPr="002F2781" w:rsidRDefault="00954960" w:rsidP="00CC25D7">
      <w:pPr>
        <w:pStyle w:val="Tekstpodstawowy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>
        <w:rPr>
          <w:rFonts w:ascii="Calibri" w:hAnsi="Calibri" w:cs="Arial"/>
          <w:b w:val="0"/>
          <w:color w:val="auto"/>
          <w:sz w:val="22"/>
          <w:szCs w:val="22"/>
        </w:rPr>
        <w:t>Rodzaj pracy: jednokierunkowe i rewersyjne.</w:t>
      </w:r>
    </w:p>
    <w:p w:rsidR="001A735F" w:rsidRPr="004B520C" w:rsidRDefault="001A735F" w:rsidP="004B520C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0B4EF3" w:rsidRPr="004B520C" w:rsidRDefault="000B4EF3" w:rsidP="004B520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III. </w:t>
      </w:r>
      <w:r w:rsidR="00674AE0" w:rsidRPr="00305638">
        <w:rPr>
          <w:rFonts w:asciiTheme="minorHAnsi" w:hAnsiTheme="minorHAnsi" w:cs="Arial"/>
          <w:bCs/>
          <w:i/>
          <w:sz w:val="22"/>
          <w:szCs w:val="22"/>
        </w:rPr>
        <w:t>Pozostałe w</w:t>
      </w:r>
      <w:r w:rsidRPr="00305638">
        <w:rPr>
          <w:rFonts w:asciiTheme="minorHAnsi" w:hAnsiTheme="minorHAnsi" w:cs="Arial"/>
          <w:bCs/>
          <w:i/>
          <w:sz w:val="22"/>
          <w:szCs w:val="22"/>
        </w:rPr>
        <w:t>arunki wykonania</w:t>
      </w:r>
      <w:r w:rsidR="00852AD1" w:rsidRPr="00305638">
        <w:rPr>
          <w:rFonts w:asciiTheme="minorHAnsi" w:hAnsiTheme="minorHAnsi" w:cs="Arial"/>
          <w:bCs/>
          <w:i/>
          <w:sz w:val="22"/>
          <w:szCs w:val="22"/>
        </w:rPr>
        <w:t xml:space="preserve"> i </w:t>
      </w:r>
      <w:r w:rsidR="00674AE0" w:rsidRPr="00305638">
        <w:rPr>
          <w:rFonts w:asciiTheme="minorHAnsi" w:hAnsiTheme="minorHAnsi" w:cs="Arial"/>
          <w:bCs/>
          <w:i/>
          <w:sz w:val="22"/>
          <w:szCs w:val="22"/>
        </w:rPr>
        <w:t>dostawy</w:t>
      </w:r>
      <w:r w:rsidRPr="004B520C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4B520C" w:rsidRDefault="000B4EF3" w:rsidP="004B520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E238CF" w:rsidRPr="004B520C" w:rsidRDefault="0065596B" w:rsidP="00CC25D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Wykonawca wraz z dostawą </w:t>
      </w:r>
      <w:r w:rsidR="00954960">
        <w:rPr>
          <w:rFonts w:asciiTheme="minorHAnsi" w:hAnsiTheme="minorHAnsi" w:cs="Arial"/>
          <w:bCs/>
          <w:sz w:val="22"/>
          <w:szCs w:val="22"/>
        </w:rPr>
        <w:t>zgarniaczy</w:t>
      </w:r>
      <w:r w:rsidR="00EF6778" w:rsidRPr="004B520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4B520C">
        <w:rPr>
          <w:rFonts w:asciiTheme="minorHAnsi" w:hAnsiTheme="minorHAnsi" w:cs="Arial"/>
          <w:bCs/>
          <w:sz w:val="22"/>
          <w:szCs w:val="22"/>
        </w:rPr>
        <w:t>dostarczy Zamawiającemu</w:t>
      </w:r>
      <w:r w:rsidR="00E238CF" w:rsidRPr="004B520C">
        <w:rPr>
          <w:rFonts w:asciiTheme="minorHAnsi" w:hAnsiTheme="minorHAnsi" w:cs="Arial"/>
          <w:bCs/>
          <w:sz w:val="22"/>
          <w:szCs w:val="22"/>
        </w:rPr>
        <w:t>:</w:t>
      </w:r>
    </w:p>
    <w:p w:rsidR="00E238CF" w:rsidRPr="004B520C" w:rsidRDefault="00E238CF" w:rsidP="00CC25D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>świadectwo jakości wykonania</w:t>
      </w:r>
      <w:r w:rsidR="00263641" w:rsidRPr="004B520C">
        <w:rPr>
          <w:rFonts w:asciiTheme="minorHAnsi" w:hAnsiTheme="minorHAnsi" w:cs="Arial"/>
          <w:bCs/>
          <w:sz w:val="22"/>
          <w:szCs w:val="22"/>
        </w:rPr>
        <w:t xml:space="preserve"> zgodnie z założeniami</w:t>
      </w:r>
      <w:r w:rsidRPr="004B520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>dotycząc</w:t>
      </w:r>
      <w:r w:rsidRPr="004B520C">
        <w:rPr>
          <w:rFonts w:asciiTheme="minorHAnsi" w:hAnsiTheme="minorHAnsi" w:cs="Arial"/>
          <w:bCs/>
          <w:sz w:val="22"/>
          <w:szCs w:val="22"/>
        </w:rPr>
        <w:t>e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 xml:space="preserve"> wszystkich </w:t>
      </w:r>
      <w:r w:rsidR="00954960">
        <w:rPr>
          <w:rFonts w:asciiTheme="minorHAnsi" w:hAnsiTheme="minorHAnsi" w:cs="Arial"/>
          <w:bCs/>
          <w:sz w:val="22"/>
          <w:szCs w:val="22"/>
        </w:rPr>
        <w:t>zgarniaczy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 xml:space="preserve"> z dostawy,</w:t>
      </w:r>
    </w:p>
    <w:p w:rsidR="00E238CF" w:rsidRPr="004B520C" w:rsidRDefault="00E238CF" w:rsidP="00CC25D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deklarację zgodności 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>obejmującą możliwość stosowania dla strefy 2</w:t>
      </w:r>
      <w:r w:rsidR="00954960">
        <w:rPr>
          <w:rFonts w:asciiTheme="minorHAnsi" w:hAnsiTheme="minorHAnsi" w:cs="Arial"/>
          <w:bCs/>
          <w:sz w:val="22"/>
          <w:szCs w:val="22"/>
        </w:rPr>
        <w:t>1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 xml:space="preserve"> zagrożenia wybuchem</w:t>
      </w:r>
      <w:r w:rsidR="00B93EFD" w:rsidRPr="004B520C">
        <w:rPr>
          <w:rFonts w:asciiTheme="minorHAnsi" w:hAnsiTheme="minorHAnsi" w:cs="Arial"/>
          <w:bCs/>
          <w:sz w:val="22"/>
          <w:szCs w:val="22"/>
        </w:rPr>
        <w:t xml:space="preserve"> ze względu na występujący pył węglowy oraz węglowo-biomasowy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>zgodnie z Dyrektywą ATEX-9</w:t>
      </w:r>
      <w:r w:rsidR="00A969EB" w:rsidRPr="004B520C">
        <w:rPr>
          <w:rFonts w:asciiTheme="minorHAnsi" w:hAnsiTheme="minorHAnsi" w:cs="Arial"/>
          <w:bCs/>
          <w:sz w:val="22"/>
          <w:szCs w:val="22"/>
        </w:rPr>
        <w:t>4/9/WE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 xml:space="preserve"> oraz obowiązującymi wymaganiami wynikającymi z Rozporządzeń Ministra Gospodarki</w:t>
      </w:r>
      <w:r w:rsidR="00A969EB" w:rsidRPr="004B520C">
        <w:rPr>
          <w:rFonts w:asciiTheme="minorHAnsi" w:hAnsiTheme="minorHAnsi" w:cs="Arial"/>
          <w:bCs/>
          <w:sz w:val="22"/>
          <w:szCs w:val="22"/>
        </w:rPr>
        <w:t xml:space="preserve"> z roku 2005 i 2010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>.</w:t>
      </w:r>
    </w:p>
    <w:p w:rsidR="00E238CF" w:rsidRPr="004B520C" w:rsidRDefault="00993652" w:rsidP="00CC25D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>okres gwarancji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>,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F05EE">
        <w:rPr>
          <w:rFonts w:asciiTheme="minorHAnsi" w:hAnsiTheme="minorHAnsi" w:cs="Arial"/>
          <w:bCs/>
          <w:sz w:val="22"/>
          <w:szCs w:val="22"/>
        </w:rPr>
        <w:t xml:space="preserve">oczekiwany </w:t>
      </w:r>
      <w:bookmarkStart w:id="0" w:name="_GoBack"/>
      <w:bookmarkEnd w:id="0"/>
      <w:r w:rsidR="006F05EE">
        <w:rPr>
          <w:rFonts w:asciiTheme="minorHAnsi" w:hAnsiTheme="minorHAnsi" w:cs="Arial"/>
          <w:bCs/>
          <w:sz w:val="22"/>
          <w:szCs w:val="22"/>
        </w:rPr>
        <w:t>minimum 12 miesięcy,</w:t>
      </w:r>
    </w:p>
    <w:p w:rsidR="00A93D66" w:rsidRPr="004B520C" w:rsidRDefault="0065596B" w:rsidP="00CC25D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 xml:space="preserve">warunki </w:t>
      </w:r>
      <w:r w:rsidR="00EF6778" w:rsidRPr="004B520C">
        <w:rPr>
          <w:rFonts w:asciiTheme="minorHAnsi" w:hAnsiTheme="minorHAnsi" w:cs="Arial"/>
          <w:bCs/>
          <w:sz w:val="22"/>
          <w:szCs w:val="22"/>
        </w:rPr>
        <w:t xml:space="preserve">gwarancji, </w:t>
      </w:r>
      <w:r w:rsidRPr="004B520C">
        <w:rPr>
          <w:rFonts w:asciiTheme="minorHAnsi" w:hAnsiTheme="minorHAnsi" w:cs="Arial"/>
          <w:bCs/>
          <w:sz w:val="22"/>
          <w:szCs w:val="22"/>
        </w:rPr>
        <w:t>składowania i użytkowania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>,</w:t>
      </w:r>
    </w:p>
    <w:p w:rsidR="0065596B" w:rsidRPr="004B520C" w:rsidRDefault="00F936C8" w:rsidP="00CC25D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lastRenderedPageBreak/>
        <w:t xml:space="preserve">inne 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 xml:space="preserve">wymagania w </w:t>
      </w:r>
      <w:r w:rsidRPr="004B520C">
        <w:rPr>
          <w:rFonts w:asciiTheme="minorHAnsi" w:hAnsiTheme="minorHAnsi" w:cs="Arial"/>
          <w:bCs/>
          <w:sz w:val="22"/>
          <w:szCs w:val="22"/>
        </w:rPr>
        <w:t xml:space="preserve">tym w 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 xml:space="preserve">zakresie konserwacji, konieczne do </w:t>
      </w:r>
      <w:r w:rsidRPr="004B520C">
        <w:rPr>
          <w:rFonts w:asciiTheme="minorHAnsi" w:hAnsiTheme="minorHAnsi" w:cs="Arial"/>
          <w:bCs/>
          <w:sz w:val="22"/>
          <w:szCs w:val="22"/>
        </w:rPr>
        <w:t>dotrzymania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 xml:space="preserve"> w okresie gwarancyjnym i pogwarancyjnym, </w:t>
      </w:r>
      <w:r w:rsidR="00A969EB" w:rsidRPr="004B520C">
        <w:rPr>
          <w:rFonts w:asciiTheme="minorHAnsi" w:hAnsiTheme="minorHAnsi" w:cs="Arial"/>
          <w:bCs/>
          <w:sz w:val="22"/>
          <w:szCs w:val="22"/>
        </w:rPr>
        <w:t>warunk</w:t>
      </w:r>
      <w:r w:rsidR="00A93D66" w:rsidRPr="004B520C">
        <w:rPr>
          <w:rFonts w:asciiTheme="minorHAnsi" w:hAnsiTheme="minorHAnsi" w:cs="Arial"/>
          <w:bCs/>
          <w:sz w:val="22"/>
          <w:szCs w:val="22"/>
        </w:rPr>
        <w:t>ujące uzyskanie deklarowanych przez Wykonawcę okresów gwarancji</w:t>
      </w:r>
      <w:r w:rsidR="0065596B" w:rsidRPr="004B520C">
        <w:rPr>
          <w:rFonts w:asciiTheme="minorHAnsi" w:hAnsiTheme="minorHAnsi" w:cs="Arial"/>
          <w:bCs/>
          <w:sz w:val="22"/>
          <w:szCs w:val="22"/>
        </w:rPr>
        <w:t>.</w:t>
      </w:r>
    </w:p>
    <w:p w:rsidR="000B4EF3" w:rsidRPr="004B520C" w:rsidRDefault="001845A9" w:rsidP="00CC25D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520C">
        <w:rPr>
          <w:rFonts w:asciiTheme="minorHAnsi" w:hAnsiTheme="minorHAnsi" w:cs="Arial"/>
          <w:bCs/>
          <w:sz w:val="22"/>
          <w:szCs w:val="22"/>
        </w:rPr>
        <w:t>Oczekiwany termi</w:t>
      </w:r>
      <w:r w:rsidR="000B4EF3" w:rsidRPr="004B520C">
        <w:rPr>
          <w:rFonts w:asciiTheme="minorHAnsi" w:hAnsiTheme="minorHAnsi"/>
          <w:sz w:val="22"/>
          <w:szCs w:val="22"/>
        </w:rPr>
        <w:t xml:space="preserve">n realizacji </w:t>
      </w:r>
      <w:r w:rsidR="006D3316" w:rsidRPr="004B520C">
        <w:rPr>
          <w:rFonts w:asciiTheme="minorHAnsi" w:hAnsiTheme="minorHAnsi"/>
          <w:sz w:val="22"/>
          <w:szCs w:val="22"/>
        </w:rPr>
        <w:t>z</w:t>
      </w:r>
      <w:r w:rsidR="000B4EF3" w:rsidRPr="004B520C">
        <w:rPr>
          <w:rFonts w:asciiTheme="minorHAnsi" w:hAnsiTheme="minorHAnsi"/>
          <w:sz w:val="22"/>
          <w:szCs w:val="22"/>
        </w:rPr>
        <w:t xml:space="preserve">amówienia: </w:t>
      </w:r>
      <w:r w:rsidR="008C478A" w:rsidRPr="004B520C">
        <w:rPr>
          <w:rFonts w:asciiTheme="minorHAnsi" w:hAnsiTheme="minorHAnsi"/>
          <w:sz w:val="22"/>
          <w:szCs w:val="22"/>
        </w:rPr>
        <w:t xml:space="preserve">do </w:t>
      </w:r>
      <w:r w:rsidR="00C153E7" w:rsidRPr="004B520C">
        <w:rPr>
          <w:rFonts w:asciiTheme="minorHAnsi" w:hAnsiTheme="minorHAnsi"/>
          <w:sz w:val="22"/>
          <w:szCs w:val="22"/>
        </w:rPr>
        <w:t>2 miesi</w:t>
      </w:r>
      <w:r w:rsidR="008C478A" w:rsidRPr="004B520C">
        <w:rPr>
          <w:rFonts w:asciiTheme="minorHAnsi" w:hAnsiTheme="minorHAnsi"/>
          <w:sz w:val="22"/>
          <w:szCs w:val="22"/>
        </w:rPr>
        <w:t>ę</w:t>
      </w:r>
      <w:r w:rsidR="00C153E7" w:rsidRPr="004B520C">
        <w:rPr>
          <w:rFonts w:asciiTheme="minorHAnsi" w:hAnsiTheme="minorHAnsi"/>
          <w:sz w:val="22"/>
          <w:szCs w:val="22"/>
        </w:rPr>
        <w:t>c</w:t>
      </w:r>
      <w:r w:rsidR="008C478A" w:rsidRPr="004B520C">
        <w:rPr>
          <w:rFonts w:asciiTheme="minorHAnsi" w:hAnsiTheme="minorHAnsi"/>
          <w:sz w:val="22"/>
          <w:szCs w:val="22"/>
        </w:rPr>
        <w:t>y</w:t>
      </w:r>
      <w:r w:rsidR="00C153E7" w:rsidRPr="004B520C">
        <w:rPr>
          <w:rFonts w:asciiTheme="minorHAnsi" w:hAnsiTheme="minorHAnsi"/>
          <w:sz w:val="22"/>
          <w:szCs w:val="22"/>
        </w:rPr>
        <w:t xml:space="preserve"> od otrzymania zamówienia</w:t>
      </w:r>
      <w:r w:rsidR="000B4EF3" w:rsidRPr="004B520C">
        <w:rPr>
          <w:rFonts w:asciiTheme="minorHAnsi" w:hAnsiTheme="minorHAnsi"/>
          <w:sz w:val="22"/>
          <w:szCs w:val="22"/>
        </w:rPr>
        <w:t>.</w:t>
      </w:r>
    </w:p>
    <w:p w:rsidR="004B520C" w:rsidRPr="004B520C" w:rsidRDefault="004B520C" w:rsidP="00CC25D7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B520C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4B520C" w:rsidRPr="004B520C" w:rsidRDefault="00954960" w:rsidP="00CC25D7">
      <w:pPr>
        <w:pStyle w:val="Tekstpodstawowywcity"/>
        <w:numPr>
          <w:ilvl w:val="0"/>
          <w:numId w:val="5"/>
        </w:numPr>
        <w:spacing w:after="120" w:line="276" w:lineRule="auto"/>
        <w:ind w:left="1208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– waga 10</w:t>
      </w:r>
      <w:r w:rsidR="004B520C" w:rsidRPr="004B520C">
        <w:rPr>
          <w:rFonts w:asciiTheme="minorHAnsi" w:hAnsiTheme="minorHAnsi"/>
          <w:sz w:val="22"/>
          <w:szCs w:val="22"/>
        </w:rPr>
        <w:t>0 %,</w:t>
      </w:r>
    </w:p>
    <w:p w:rsidR="000B4EF3" w:rsidRPr="004B520C" w:rsidRDefault="000B4EF3" w:rsidP="004B520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4B520C" w:rsidRDefault="000B4EF3" w:rsidP="004B520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B520C">
        <w:rPr>
          <w:rFonts w:asciiTheme="minorHAnsi" w:hAnsiTheme="minorHAnsi" w:cs="Arial"/>
          <w:sz w:val="22"/>
          <w:szCs w:val="22"/>
        </w:rPr>
        <w:t xml:space="preserve">   </w:t>
      </w:r>
      <w:r w:rsidR="004C7984" w:rsidRPr="004B520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</w:t>
      </w:r>
      <w:r w:rsidR="008A09AA">
        <w:rPr>
          <w:rFonts w:asciiTheme="minorHAnsi" w:hAnsiTheme="minorHAnsi" w:cs="Arial"/>
          <w:sz w:val="22"/>
          <w:szCs w:val="22"/>
        </w:rPr>
        <w:t xml:space="preserve">                                    </w:t>
      </w:r>
      <w:r w:rsidR="004C7984" w:rsidRPr="004B520C">
        <w:rPr>
          <w:rFonts w:asciiTheme="minorHAnsi" w:hAnsiTheme="minorHAnsi" w:cs="Arial"/>
          <w:sz w:val="22"/>
          <w:szCs w:val="22"/>
        </w:rPr>
        <w:t xml:space="preserve">  </w:t>
      </w:r>
      <w:r w:rsidRPr="004B520C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4B520C" w:rsidRDefault="000B4EF3" w:rsidP="004B520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4B520C" w:rsidRDefault="000B4EF3" w:rsidP="004B520C">
      <w:pPr>
        <w:spacing w:line="276" w:lineRule="auto"/>
        <w:rPr>
          <w:rFonts w:asciiTheme="minorHAnsi" w:hAnsiTheme="minorHAnsi"/>
          <w:sz w:val="22"/>
          <w:szCs w:val="22"/>
        </w:rPr>
      </w:pPr>
      <w:r w:rsidRPr="004B520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r w:rsidR="004C7984" w:rsidRPr="004B520C">
        <w:rPr>
          <w:rFonts w:asciiTheme="minorHAnsi" w:hAnsiTheme="minorHAnsi" w:cs="Arial"/>
          <w:sz w:val="22"/>
          <w:szCs w:val="22"/>
        </w:rPr>
        <w:t xml:space="preserve">         </w:t>
      </w:r>
      <w:r w:rsidR="008A09A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4C7984" w:rsidRPr="004B520C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4B520C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D7" w:rsidRDefault="00CC25D7" w:rsidP="00BE7668">
      <w:r>
        <w:separator/>
      </w:r>
    </w:p>
  </w:endnote>
  <w:endnote w:type="continuationSeparator" w:id="0">
    <w:p w:rsidR="00CC25D7" w:rsidRDefault="00CC25D7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D7" w:rsidRDefault="00CC25D7" w:rsidP="00BE7668">
      <w:r>
        <w:separator/>
      </w:r>
    </w:p>
  </w:footnote>
  <w:footnote w:type="continuationSeparator" w:id="0">
    <w:p w:rsidR="00CC25D7" w:rsidRDefault="00CC25D7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53C47E7"/>
    <w:multiLevelType w:val="hybridMultilevel"/>
    <w:tmpl w:val="78EC7776"/>
    <w:lvl w:ilvl="0" w:tplc="139E0FE8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5CE4"/>
    <w:rsid w:val="000405E6"/>
    <w:rsid w:val="000500D9"/>
    <w:rsid w:val="00053958"/>
    <w:rsid w:val="0006674D"/>
    <w:rsid w:val="000708A8"/>
    <w:rsid w:val="00090CE0"/>
    <w:rsid w:val="0009548C"/>
    <w:rsid w:val="000970E4"/>
    <w:rsid w:val="000A557E"/>
    <w:rsid w:val="000B4EF3"/>
    <w:rsid w:val="000B5D12"/>
    <w:rsid w:val="000D679C"/>
    <w:rsid w:val="000E1EB4"/>
    <w:rsid w:val="000E3D05"/>
    <w:rsid w:val="000E46D6"/>
    <w:rsid w:val="000F057B"/>
    <w:rsid w:val="00113609"/>
    <w:rsid w:val="001162AD"/>
    <w:rsid w:val="00123634"/>
    <w:rsid w:val="00136E7C"/>
    <w:rsid w:val="00143AA8"/>
    <w:rsid w:val="0016627B"/>
    <w:rsid w:val="00175909"/>
    <w:rsid w:val="001845A9"/>
    <w:rsid w:val="001A1FEB"/>
    <w:rsid w:val="001A735F"/>
    <w:rsid w:val="001B416B"/>
    <w:rsid w:val="001B4D3B"/>
    <w:rsid w:val="001C7F02"/>
    <w:rsid w:val="001D036E"/>
    <w:rsid w:val="001E7F75"/>
    <w:rsid w:val="0020111C"/>
    <w:rsid w:val="002040CB"/>
    <w:rsid w:val="002054CB"/>
    <w:rsid w:val="00206CCF"/>
    <w:rsid w:val="00233610"/>
    <w:rsid w:val="002411EF"/>
    <w:rsid w:val="00263641"/>
    <w:rsid w:val="0029257E"/>
    <w:rsid w:val="002B6E6A"/>
    <w:rsid w:val="002C206C"/>
    <w:rsid w:val="002D642B"/>
    <w:rsid w:val="002E2771"/>
    <w:rsid w:val="002E2FBC"/>
    <w:rsid w:val="00305638"/>
    <w:rsid w:val="0031489E"/>
    <w:rsid w:val="0033190E"/>
    <w:rsid w:val="00341CF4"/>
    <w:rsid w:val="00360FEE"/>
    <w:rsid w:val="00381D70"/>
    <w:rsid w:val="003A25E8"/>
    <w:rsid w:val="003B48D3"/>
    <w:rsid w:val="003B75F1"/>
    <w:rsid w:val="003D6DD8"/>
    <w:rsid w:val="00400235"/>
    <w:rsid w:val="00421437"/>
    <w:rsid w:val="00433047"/>
    <w:rsid w:val="00435533"/>
    <w:rsid w:val="004407B0"/>
    <w:rsid w:val="00441573"/>
    <w:rsid w:val="00461572"/>
    <w:rsid w:val="004700D8"/>
    <w:rsid w:val="004723A7"/>
    <w:rsid w:val="00474859"/>
    <w:rsid w:val="00483313"/>
    <w:rsid w:val="0048797C"/>
    <w:rsid w:val="00490580"/>
    <w:rsid w:val="004B4701"/>
    <w:rsid w:val="004B520C"/>
    <w:rsid w:val="004C005B"/>
    <w:rsid w:val="004C5E73"/>
    <w:rsid w:val="004C7984"/>
    <w:rsid w:val="004D78E5"/>
    <w:rsid w:val="004D7FF6"/>
    <w:rsid w:val="004E0879"/>
    <w:rsid w:val="004F12C7"/>
    <w:rsid w:val="004F39AF"/>
    <w:rsid w:val="00501CD7"/>
    <w:rsid w:val="00506558"/>
    <w:rsid w:val="00557812"/>
    <w:rsid w:val="00566379"/>
    <w:rsid w:val="0059247F"/>
    <w:rsid w:val="0059547F"/>
    <w:rsid w:val="005A00F6"/>
    <w:rsid w:val="005B01C5"/>
    <w:rsid w:val="005B1030"/>
    <w:rsid w:val="005B16CC"/>
    <w:rsid w:val="005B496D"/>
    <w:rsid w:val="005C5C1F"/>
    <w:rsid w:val="005E2E40"/>
    <w:rsid w:val="005F2518"/>
    <w:rsid w:val="0060131A"/>
    <w:rsid w:val="00625F88"/>
    <w:rsid w:val="00636E85"/>
    <w:rsid w:val="00645997"/>
    <w:rsid w:val="006541CA"/>
    <w:rsid w:val="0065596B"/>
    <w:rsid w:val="00657888"/>
    <w:rsid w:val="00674AE0"/>
    <w:rsid w:val="0068513C"/>
    <w:rsid w:val="006915FA"/>
    <w:rsid w:val="006B7128"/>
    <w:rsid w:val="006D3316"/>
    <w:rsid w:val="006D7D7A"/>
    <w:rsid w:val="006E11CC"/>
    <w:rsid w:val="006E68F2"/>
    <w:rsid w:val="006F05EE"/>
    <w:rsid w:val="006F271B"/>
    <w:rsid w:val="006F6D7C"/>
    <w:rsid w:val="00717951"/>
    <w:rsid w:val="0072462A"/>
    <w:rsid w:val="00727E81"/>
    <w:rsid w:val="0073132E"/>
    <w:rsid w:val="00737D50"/>
    <w:rsid w:val="00765128"/>
    <w:rsid w:val="007863CC"/>
    <w:rsid w:val="00794AD1"/>
    <w:rsid w:val="00797361"/>
    <w:rsid w:val="007A2896"/>
    <w:rsid w:val="007A2CF0"/>
    <w:rsid w:val="007B7FC6"/>
    <w:rsid w:val="007C354C"/>
    <w:rsid w:val="007C3599"/>
    <w:rsid w:val="007C6AB5"/>
    <w:rsid w:val="007D0CF0"/>
    <w:rsid w:val="007D42C0"/>
    <w:rsid w:val="007F221B"/>
    <w:rsid w:val="007F5BBF"/>
    <w:rsid w:val="00815C8F"/>
    <w:rsid w:val="008165EE"/>
    <w:rsid w:val="00824472"/>
    <w:rsid w:val="008321EA"/>
    <w:rsid w:val="0083610F"/>
    <w:rsid w:val="00852AD1"/>
    <w:rsid w:val="00862360"/>
    <w:rsid w:val="0088357C"/>
    <w:rsid w:val="008A09AA"/>
    <w:rsid w:val="008C3609"/>
    <w:rsid w:val="008C478A"/>
    <w:rsid w:val="008C71F7"/>
    <w:rsid w:val="008D0CAE"/>
    <w:rsid w:val="008D18C2"/>
    <w:rsid w:val="008D3DC1"/>
    <w:rsid w:val="008D4CCF"/>
    <w:rsid w:val="008D74C4"/>
    <w:rsid w:val="008F49B7"/>
    <w:rsid w:val="008F578E"/>
    <w:rsid w:val="00913B67"/>
    <w:rsid w:val="00924C26"/>
    <w:rsid w:val="0093636F"/>
    <w:rsid w:val="00940365"/>
    <w:rsid w:val="00951162"/>
    <w:rsid w:val="00954960"/>
    <w:rsid w:val="00971F29"/>
    <w:rsid w:val="00973DC6"/>
    <w:rsid w:val="0097463F"/>
    <w:rsid w:val="00981135"/>
    <w:rsid w:val="00993652"/>
    <w:rsid w:val="009B382F"/>
    <w:rsid w:val="009C6EE1"/>
    <w:rsid w:val="009C728D"/>
    <w:rsid w:val="009D738E"/>
    <w:rsid w:val="009E212B"/>
    <w:rsid w:val="00A01D48"/>
    <w:rsid w:val="00A13309"/>
    <w:rsid w:val="00A351A9"/>
    <w:rsid w:val="00A35A24"/>
    <w:rsid w:val="00A35C1B"/>
    <w:rsid w:val="00A55BBE"/>
    <w:rsid w:val="00A81A96"/>
    <w:rsid w:val="00A93D66"/>
    <w:rsid w:val="00A969EB"/>
    <w:rsid w:val="00AA12D1"/>
    <w:rsid w:val="00AA4354"/>
    <w:rsid w:val="00AD1939"/>
    <w:rsid w:val="00AD2011"/>
    <w:rsid w:val="00AE2162"/>
    <w:rsid w:val="00B00180"/>
    <w:rsid w:val="00B072DA"/>
    <w:rsid w:val="00B226C5"/>
    <w:rsid w:val="00B53909"/>
    <w:rsid w:val="00B54DCB"/>
    <w:rsid w:val="00B56E6A"/>
    <w:rsid w:val="00B7622B"/>
    <w:rsid w:val="00B80483"/>
    <w:rsid w:val="00B81350"/>
    <w:rsid w:val="00B93EFD"/>
    <w:rsid w:val="00BA4CDE"/>
    <w:rsid w:val="00BA5A39"/>
    <w:rsid w:val="00BA7020"/>
    <w:rsid w:val="00BD1393"/>
    <w:rsid w:val="00BE5300"/>
    <w:rsid w:val="00BE7505"/>
    <w:rsid w:val="00BE7668"/>
    <w:rsid w:val="00C0498F"/>
    <w:rsid w:val="00C153E7"/>
    <w:rsid w:val="00C23C97"/>
    <w:rsid w:val="00C37585"/>
    <w:rsid w:val="00C40162"/>
    <w:rsid w:val="00C462A3"/>
    <w:rsid w:val="00C500AB"/>
    <w:rsid w:val="00C62888"/>
    <w:rsid w:val="00C77451"/>
    <w:rsid w:val="00C84266"/>
    <w:rsid w:val="00CA424E"/>
    <w:rsid w:val="00CB3FE1"/>
    <w:rsid w:val="00CC25D7"/>
    <w:rsid w:val="00CE19F3"/>
    <w:rsid w:val="00CE3135"/>
    <w:rsid w:val="00CE6E1D"/>
    <w:rsid w:val="00D00A74"/>
    <w:rsid w:val="00D101C7"/>
    <w:rsid w:val="00D15157"/>
    <w:rsid w:val="00D15CFE"/>
    <w:rsid w:val="00D24F54"/>
    <w:rsid w:val="00D30998"/>
    <w:rsid w:val="00D36B5E"/>
    <w:rsid w:val="00D938B3"/>
    <w:rsid w:val="00D94946"/>
    <w:rsid w:val="00DA0A7F"/>
    <w:rsid w:val="00DA488C"/>
    <w:rsid w:val="00DC6D26"/>
    <w:rsid w:val="00DD2D0D"/>
    <w:rsid w:val="00DF3FDE"/>
    <w:rsid w:val="00DF7869"/>
    <w:rsid w:val="00E040F6"/>
    <w:rsid w:val="00E16A61"/>
    <w:rsid w:val="00E21AEA"/>
    <w:rsid w:val="00E238CF"/>
    <w:rsid w:val="00E240DE"/>
    <w:rsid w:val="00E374F7"/>
    <w:rsid w:val="00E5511F"/>
    <w:rsid w:val="00E5631E"/>
    <w:rsid w:val="00E56942"/>
    <w:rsid w:val="00E60A15"/>
    <w:rsid w:val="00E849E6"/>
    <w:rsid w:val="00E8790C"/>
    <w:rsid w:val="00E87D39"/>
    <w:rsid w:val="00E976E7"/>
    <w:rsid w:val="00ED708D"/>
    <w:rsid w:val="00EF19FA"/>
    <w:rsid w:val="00EF402E"/>
    <w:rsid w:val="00EF6778"/>
    <w:rsid w:val="00F02202"/>
    <w:rsid w:val="00F12B2E"/>
    <w:rsid w:val="00F410C3"/>
    <w:rsid w:val="00F43A06"/>
    <w:rsid w:val="00F43CCA"/>
    <w:rsid w:val="00F91C48"/>
    <w:rsid w:val="00F92368"/>
    <w:rsid w:val="00F936C8"/>
    <w:rsid w:val="00F95F12"/>
    <w:rsid w:val="00FA79BF"/>
    <w:rsid w:val="00FB4051"/>
    <w:rsid w:val="00FB61E7"/>
    <w:rsid w:val="00FC5AD5"/>
    <w:rsid w:val="00FD3916"/>
    <w:rsid w:val="00FD5184"/>
    <w:rsid w:val="00FE4409"/>
    <w:rsid w:val="00FE6683"/>
    <w:rsid w:val="00FF2C2A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5AEBA"/>
  <w15:docId w15:val="{C6CA62EA-47FC-4EA2-ACE0-50934E8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Akapit z listą;1_literowka,Literowanie,1_literowka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520C"/>
    <w:rPr>
      <w:rFonts w:ascii="Verdana" w:hAnsi="Verdana" w:cs="Arial"/>
      <w:bCs/>
    </w:r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Akapit z listą;1_literowka Znak,Literowanie Znak,1_literowka Znak,CP-UC Znak"/>
    <w:link w:val="Akapitzlist"/>
    <w:uiPriority w:val="34"/>
    <w:qFormat/>
    <w:locked/>
    <w:rsid w:val="00954960"/>
  </w:style>
  <w:style w:type="character" w:customStyle="1" w:styleId="TekstpodstawowyZnak">
    <w:name w:val="Tekst podstawowy Znak"/>
    <w:link w:val="Tekstpodstawowy"/>
    <w:rsid w:val="00954960"/>
    <w:rPr>
      <w:b/>
      <w:bCs/>
      <w:color w:val="07408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5B6E-D638-4544-A2F8-11680DBF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2011-11-16T11:54:00Z</cp:lastPrinted>
  <dcterms:created xsi:type="dcterms:W3CDTF">2021-07-20T09:48:00Z</dcterms:created>
  <dcterms:modified xsi:type="dcterms:W3CDTF">2021-07-23T09:26:00Z</dcterms:modified>
</cp:coreProperties>
</file>